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1AEA6" w14:textId="77777777" w:rsidR="005942DE" w:rsidRPr="005942DE" w:rsidRDefault="005942DE" w:rsidP="005942DE">
      <w:pPr>
        <w:jc w:val="center"/>
        <w:rPr>
          <w:rFonts w:ascii="Garamond" w:hAnsi="Garamond"/>
          <w:b/>
          <w:color w:val="2E74B5" w:themeColor="accent1" w:themeShade="BF"/>
          <w:sz w:val="36"/>
          <w:szCs w:val="36"/>
        </w:rPr>
      </w:pPr>
      <w:bookmarkStart w:id="0" w:name="_GoBack"/>
      <w:bookmarkEnd w:id="0"/>
      <w:r w:rsidRPr="005942DE">
        <w:rPr>
          <w:rFonts w:ascii="Garamond" w:hAnsi="Garamond"/>
          <w:b/>
          <w:color w:val="2E74B5" w:themeColor="accent1" w:themeShade="BF"/>
          <w:sz w:val="36"/>
          <w:szCs w:val="36"/>
        </w:rPr>
        <w:t>Actualité de la théorie littéraire : « lire/interpréter »</w:t>
      </w:r>
    </w:p>
    <w:p w14:paraId="47561010" w14:textId="77777777" w:rsidR="005942DE" w:rsidRPr="005942DE" w:rsidRDefault="005942DE" w:rsidP="005942DE">
      <w:pPr>
        <w:jc w:val="center"/>
        <w:rPr>
          <w:rFonts w:ascii="Garamond" w:hAnsi="Garamond"/>
          <w:b/>
          <w:color w:val="2E74B5" w:themeColor="accent1" w:themeShade="BF"/>
          <w:sz w:val="32"/>
          <w:szCs w:val="32"/>
        </w:rPr>
      </w:pPr>
      <w:r w:rsidRPr="005942DE">
        <w:rPr>
          <w:rFonts w:ascii="Garamond" w:hAnsi="Garamond"/>
          <w:b/>
          <w:color w:val="2E74B5" w:themeColor="accent1" w:themeShade="BF"/>
          <w:sz w:val="32"/>
          <w:szCs w:val="32"/>
        </w:rPr>
        <w:t>Rencontre du mercredi 30 novembre 14 h – 16 h 15</w:t>
      </w:r>
    </w:p>
    <w:p w14:paraId="4BB31605" w14:textId="77777777" w:rsidR="005942DE" w:rsidRDefault="005942DE" w:rsidP="005942DE">
      <w:pPr>
        <w:jc w:val="center"/>
        <w:rPr>
          <w:rFonts w:ascii="Garamond" w:hAnsi="Garamond"/>
          <w:b/>
          <w:color w:val="2E74B5" w:themeColor="accent1" w:themeShade="BF"/>
          <w:sz w:val="32"/>
          <w:szCs w:val="32"/>
        </w:rPr>
      </w:pPr>
      <w:r w:rsidRPr="005942DE">
        <w:rPr>
          <w:rFonts w:ascii="Garamond" w:hAnsi="Garamond"/>
          <w:b/>
          <w:color w:val="2E74B5" w:themeColor="accent1" w:themeShade="BF"/>
          <w:sz w:val="32"/>
          <w:szCs w:val="32"/>
        </w:rPr>
        <w:t>Salle A 300 du bâtiment Blondel (site Mont-Saint-Aignan)</w:t>
      </w:r>
    </w:p>
    <w:p w14:paraId="3060A059" w14:textId="77777777" w:rsidR="005942DE" w:rsidRDefault="005942DE" w:rsidP="005942DE">
      <w:pPr>
        <w:jc w:val="center"/>
        <w:rPr>
          <w:rFonts w:ascii="Garamond" w:hAnsi="Garamond"/>
          <w:b/>
          <w:color w:val="2E74B5" w:themeColor="accent1" w:themeShade="BF"/>
          <w:sz w:val="32"/>
          <w:szCs w:val="32"/>
        </w:rPr>
      </w:pPr>
    </w:p>
    <w:p w14:paraId="05F44AB5" w14:textId="77777777" w:rsidR="005942DE" w:rsidRDefault="005942DE" w:rsidP="005942DE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Si tous les étudiants</w:t>
      </w:r>
      <w:r w:rsidR="00670D38">
        <w:rPr>
          <w:rFonts w:ascii="Garamond" w:hAnsi="Garamond"/>
          <w:color w:val="000000" w:themeColor="text1"/>
        </w:rPr>
        <w:t xml:space="preserve"> et tous les collègues</w:t>
      </w:r>
      <w:r>
        <w:rPr>
          <w:rFonts w:ascii="Garamond" w:hAnsi="Garamond"/>
          <w:color w:val="000000" w:themeColor="text1"/>
        </w:rPr>
        <w:t xml:space="preserve"> sont cordialement invités à assister à cette demi-journée, les étudiants de </w:t>
      </w:r>
      <w:r w:rsidRPr="005942DE">
        <w:rPr>
          <w:rFonts w:ascii="Garamond" w:hAnsi="Garamond"/>
          <w:b/>
          <w:color w:val="000000" w:themeColor="text1"/>
        </w:rPr>
        <w:t>Master</w:t>
      </w:r>
      <w:r>
        <w:rPr>
          <w:rFonts w:ascii="Garamond" w:hAnsi="Garamond"/>
          <w:color w:val="000000" w:themeColor="text1"/>
        </w:rPr>
        <w:t xml:space="preserve"> (Master MEEF et Master Recherche) ainsi que les étudiants de </w:t>
      </w:r>
      <w:r w:rsidRPr="005942DE">
        <w:rPr>
          <w:rFonts w:ascii="Garamond" w:hAnsi="Garamond"/>
          <w:b/>
          <w:color w:val="000000" w:themeColor="text1"/>
        </w:rPr>
        <w:t>Licence 3 parcours « Édition »</w:t>
      </w:r>
      <w:r>
        <w:rPr>
          <w:rFonts w:ascii="Garamond" w:hAnsi="Garamond"/>
          <w:color w:val="000000" w:themeColor="text1"/>
        </w:rPr>
        <w:t xml:space="preserve"> doivent</w:t>
      </w:r>
      <w:r w:rsidR="00670D38">
        <w:rPr>
          <w:rFonts w:ascii="Garamond" w:hAnsi="Garamond"/>
          <w:color w:val="000000" w:themeColor="text1"/>
        </w:rPr>
        <w:t xml:space="preserve">, pour leur part, </w:t>
      </w:r>
      <w:r w:rsidRPr="005942DE">
        <w:rPr>
          <w:rFonts w:ascii="Garamond" w:hAnsi="Garamond"/>
          <w:b/>
          <w:color w:val="000000" w:themeColor="text1"/>
        </w:rPr>
        <w:t>obligatoirement</w:t>
      </w:r>
      <w:r>
        <w:rPr>
          <w:rFonts w:ascii="Garamond" w:hAnsi="Garamond"/>
          <w:color w:val="000000" w:themeColor="text1"/>
        </w:rPr>
        <w:t xml:space="preserve"> y participer.</w:t>
      </w:r>
    </w:p>
    <w:p w14:paraId="07E2A31A" w14:textId="77777777" w:rsidR="005942DE" w:rsidRDefault="005942DE" w:rsidP="005942DE">
      <w:pPr>
        <w:jc w:val="both"/>
        <w:rPr>
          <w:rFonts w:ascii="Garamond" w:hAnsi="Garamond"/>
          <w:color w:val="000000" w:themeColor="text1"/>
        </w:rPr>
      </w:pPr>
    </w:p>
    <w:p w14:paraId="1C97C968" w14:textId="77777777" w:rsidR="005942DE" w:rsidRDefault="005942DE" w:rsidP="005942DE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Pour les étudiants de </w:t>
      </w:r>
      <w:r w:rsidRPr="00670D38">
        <w:rPr>
          <w:rFonts w:ascii="Garamond" w:hAnsi="Garamond"/>
          <w:b/>
          <w:color w:val="000000" w:themeColor="text1"/>
        </w:rPr>
        <w:t>Master</w:t>
      </w:r>
      <w:r>
        <w:rPr>
          <w:rFonts w:ascii="Garamond" w:hAnsi="Garamond"/>
          <w:color w:val="000000" w:themeColor="text1"/>
        </w:rPr>
        <w:t xml:space="preserve">, comme il est indiqué dans le mémento du Département de Lettres Modernes, la participation à cette demi-journée donnera lieu à une </w:t>
      </w:r>
      <w:r w:rsidRPr="005942DE">
        <w:rPr>
          <w:rFonts w:ascii="Garamond" w:hAnsi="Garamond"/>
          <w:b/>
          <w:color w:val="000000" w:themeColor="text1"/>
        </w:rPr>
        <w:t>note</w:t>
      </w:r>
      <w:r>
        <w:rPr>
          <w:rFonts w:ascii="Garamond" w:hAnsi="Garamond"/>
          <w:color w:val="000000" w:themeColor="text1"/>
        </w:rPr>
        <w:t>, qui comptera :</w:t>
      </w:r>
    </w:p>
    <w:p w14:paraId="06164DA9" w14:textId="77777777" w:rsidR="005942DE" w:rsidRDefault="005942DE" w:rsidP="005942DE">
      <w:pPr>
        <w:pStyle w:val="Paragraphedeliste"/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En MEEF 1, dans l’UE 3 du S2 « Initiation à la recherche »</w:t>
      </w:r>
    </w:p>
    <w:p w14:paraId="20AE0CAF" w14:textId="77777777" w:rsidR="005942DE" w:rsidRDefault="005942DE" w:rsidP="005942DE">
      <w:pPr>
        <w:pStyle w:val="Paragraphedeliste"/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En MEEF 2, dans l’UE 1 du S1 « A</w:t>
      </w:r>
      <w:r w:rsidR="00670D38">
        <w:rPr>
          <w:rFonts w:ascii="Garamond" w:hAnsi="Garamond"/>
          <w:color w:val="000000" w:themeColor="text1"/>
        </w:rPr>
        <w:t>p</w:t>
      </w:r>
      <w:r>
        <w:rPr>
          <w:rFonts w:ascii="Garamond" w:hAnsi="Garamond"/>
          <w:color w:val="000000" w:themeColor="text1"/>
        </w:rPr>
        <w:t xml:space="preserve">profondissement </w:t>
      </w:r>
      <w:r w:rsidR="00670D38">
        <w:rPr>
          <w:rFonts w:ascii="Garamond" w:hAnsi="Garamond"/>
          <w:color w:val="000000" w:themeColor="text1"/>
        </w:rPr>
        <w:t>disciplinaire »</w:t>
      </w:r>
    </w:p>
    <w:p w14:paraId="50296991" w14:textId="77777777" w:rsidR="00670D38" w:rsidRDefault="00670D38" w:rsidP="005942DE">
      <w:pPr>
        <w:pStyle w:val="Paragraphedeliste"/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En MR 1, dans l’UE 3 du S1 « Séminaires d’approfondissement disciplinaire »</w:t>
      </w:r>
    </w:p>
    <w:p w14:paraId="5FC3D144" w14:textId="77777777" w:rsidR="005942DE" w:rsidRPr="00670D38" w:rsidRDefault="00670D38" w:rsidP="005942DE">
      <w:pPr>
        <w:pStyle w:val="Paragraphedeliste"/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En MR 2, dans l’UE 2 du S1 « Séminaires du </w:t>
      </w:r>
      <w:proofErr w:type="spellStart"/>
      <w:r>
        <w:rPr>
          <w:rFonts w:ascii="Garamond" w:hAnsi="Garamond"/>
          <w:color w:val="000000" w:themeColor="text1"/>
        </w:rPr>
        <w:t>Cérédi</w:t>
      </w:r>
      <w:proofErr w:type="spellEnd"/>
      <w:r>
        <w:rPr>
          <w:rFonts w:ascii="Garamond" w:hAnsi="Garamond"/>
          <w:color w:val="000000" w:themeColor="text1"/>
        </w:rPr>
        <w:t> »</w:t>
      </w:r>
    </w:p>
    <w:p w14:paraId="764005A0" w14:textId="77777777" w:rsidR="005942DE" w:rsidRDefault="005942DE" w:rsidP="00670D38">
      <w:pPr>
        <w:jc w:val="both"/>
        <w:rPr>
          <w:rFonts w:ascii="Garamond" w:hAnsi="Garamond"/>
          <w:b/>
          <w:color w:val="2E74B5" w:themeColor="accent1" w:themeShade="BF"/>
          <w:sz w:val="36"/>
          <w:szCs w:val="36"/>
        </w:rPr>
      </w:pPr>
    </w:p>
    <w:p w14:paraId="1124C8DC" w14:textId="77777777" w:rsidR="0073148A" w:rsidRPr="0057386E" w:rsidRDefault="0073148A" w:rsidP="0073148A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Pour obtenir cette note, les étudiants de Master ont le </w:t>
      </w:r>
      <w:r w:rsidRPr="0057386E">
        <w:rPr>
          <w:rFonts w:ascii="Garamond" w:hAnsi="Garamond"/>
          <w:b/>
          <w:color w:val="000000" w:themeColor="text1"/>
        </w:rPr>
        <w:t xml:space="preserve">choix </w:t>
      </w:r>
      <w:r w:rsidRPr="0057386E">
        <w:rPr>
          <w:rFonts w:ascii="Garamond" w:hAnsi="Garamond"/>
          <w:color w:val="000000" w:themeColor="text1"/>
        </w:rPr>
        <w:t>entre deux exercices :</w:t>
      </w:r>
    </w:p>
    <w:p w14:paraId="4B3A4B9B" w14:textId="77777777" w:rsidR="0073148A" w:rsidRDefault="0073148A" w:rsidP="0073148A">
      <w:pPr>
        <w:jc w:val="both"/>
        <w:rPr>
          <w:rFonts w:ascii="Garamond" w:hAnsi="Garamond"/>
          <w:color w:val="000000" w:themeColor="text1"/>
        </w:rPr>
      </w:pPr>
    </w:p>
    <w:p w14:paraId="16734F2E" w14:textId="77777777" w:rsidR="0073148A" w:rsidRDefault="0073148A" w:rsidP="0073148A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SOIT </w:t>
      </w:r>
      <w:r w:rsidRPr="0073148A">
        <w:rPr>
          <w:rFonts w:ascii="Garamond" w:hAnsi="Garamond"/>
          <w:b/>
          <w:color w:val="000000" w:themeColor="text1"/>
        </w:rPr>
        <w:t>avant</w:t>
      </w:r>
      <w:r>
        <w:rPr>
          <w:rFonts w:ascii="Garamond" w:hAnsi="Garamond"/>
          <w:color w:val="000000" w:themeColor="text1"/>
        </w:rPr>
        <w:t xml:space="preserve"> le 30 novembre : </w:t>
      </w:r>
    </w:p>
    <w:p w14:paraId="60B15154" w14:textId="46489D10" w:rsidR="0073148A" w:rsidRDefault="0073148A" w:rsidP="0073148A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La lecture et le </w:t>
      </w:r>
      <w:r w:rsidRPr="0073148A">
        <w:rPr>
          <w:rFonts w:ascii="Garamond" w:hAnsi="Garamond"/>
          <w:b/>
          <w:color w:val="000000" w:themeColor="text1"/>
        </w:rPr>
        <w:t>compte rendu</w:t>
      </w:r>
      <w:r>
        <w:rPr>
          <w:rFonts w:ascii="Garamond" w:hAnsi="Garamond"/>
          <w:color w:val="000000" w:themeColor="text1"/>
        </w:rPr>
        <w:t xml:space="preserve"> </w:t>
      </w:r>
      <w:r w:rsidRPr="0073148A">
        <w:rPr>
          <w:rFonts w:ascii="Garamond" w:hAnsi="Garamond"/>
          <w:b/>
          <w:color w:val="000000" w:themeColor="text1"/>
        </w:rPr>
        <w:t>en quatre ou cinq pages</w:t>
      </w:r>
      <w:r>
        <w:rPr>
          <w:rFonts w:ascii="Garamond" w:hAnsi="Garamond"/>
          <w:color w:val="000000" w:themeColor="text1"/>
        </w:rPr>
        <w:t xml:space="preserve"> du livre </w:t>
      </w:r>
      <w:r w:rsidRPr="0073148A">
        <w:rPr>
          <w:rFonts w:ascii="Garamond" w:hAnsi="Garamond"/>
          <w:i/>
          <w:color w:val="000000" w:themeColor="text1"/>
        </w:rPr>
        <w:t>L’Art de lire</w:t>
      </w:r>
      <w:r>
        <w:rPr>
          <w:rFonts w:ascii="Garamond" w:hAnsi="Garamond"/>
          <w:color w:val="000000" w:themeColor="text1"/>
        </w:rPr>
        <w:t xml:space="preserve"> de Michèle Petit OU du livre d’Hélène Merlin</w:t>
      </w:r>
      <w:r w:rsidR="0057386E">
        <w:rPr>
          <w:rFonts w:ascii="Garamond" w:hAnsi="Garamond"/>
          <w:color w:val="000000" w:themeColor="text1"/>
        </w:rPr>
        <w:t>-</w:t>
      </w:r>
      <w:proofErr w:type="spellStart"/>
      <w:r>
        <w:rPr>
          <w:rFonts w:ascii="Garamond" w:hAnsi="Garamond"/>
          <w:color w:val="000000" w:themeColor="text1"/>
        </w:rPr>
        <w:t>Kajeman</w:t>
      </w:r>
      <w:proofErr w:type="spellEnd"/>
      <w:r>
        <w:rPr>
          <w:rFonts w:ascii="Garamond" w:hAnsi="Garamond"/>
          <w:color w:val="000000" w:themeColor="text1"/>
        </w:rPr>
        <w:t xml:space="preserve"> </w:t>
      </w:r>
      <w:r w:rsidRPr="0073148A">
        <w:rPr>
          <w:rFonts w:ascii="Garamond" w:hAnsi="Garamond"/>
          <w:i/>
          <w:color w:val="000000" w:themeColor="text1"/>
        </w:rPr>
        <w:t>Lire dans la gueule du loup</w:t>
      </w:r>
      <w:r>
        <w:rPr>
          <w:rFonts w:ascii="Garamond" w:hAnsi="Garamond"/>
          <w:color w:val="000000" w:themeColor="text1"/>
        </w:rPr>
        <w:t xml:space="preserve"> OU d’un des quatre chapitres du livre de Marielle Macé </w:t>
      </w:r>
      <w:r w:rsidRPr="0073148A">
        <w:rPr>
          <w:rFonts w:ascii="Garamond" w:hAnsi="Garamond"/>
          <w:i/>
          <w:color w:val="000000" w:themeColor="text1"/>
        </w:rPr>
        <w:t>Façons de lire, manières d’être</w:t>
      </w:r>
      <w:r>
        <w:rPr>
          <w:rFonts w:ascii="Garamond" w:hAnsi="Garamond"/>
          <w:color w:val="000000" w:themeColor="text1"/>
        </w:rPr>
        <w:t xml:space="preserve">, le compte-rendu débouchant sur la formulation de </w:t>
      </w:r>
      <w:r w:rsidRPr="0073148A">
        <w:rPr>
          <w:rFonts w:ascii="Garamond" w:hAnsi="Garamond"/>
          <w:b/>
          <w:color w:val="000000" w:themeColor="text1"/>
        </w:rPr>
        <w:t>deux ou trois questions</w:t>
      </w:r>
      <w:r>
        <w:rPr>
          <w:rFonts w:ascii="Garamond" w:hAnsi="Garamond"/>
          <w:color w:val="000000" w:themeColor="text1"/>
        </w:rPr>
        <w:t xml:space="preserve"> qui pourront être posées aux intervenantes lors de la rencontre. </w:t>
      </w:r>
    </w:p>
    <w:p w14:paraId="0D89F782" w14:textId="1E3B7FC5" w:rsidR="0073148A" w:rsidRPr="00670D38" w:rsidRDefault="0073148A" w:rsidP="0073148A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Avec les compte</w:t>
      </w:r>
      <w:r w:rsidR="0057386E">
        <w:rPr>
          <w:rFonts w:ascii="Garamond" w:hAnsi="Garamond"/>
          <w:color w:val="000000" w:themeColor="text1"/>
        </w:rPr>
        <w:t>s</w:t>
      </w:r>
      <w:r>
        <w:rPr>
          <w:rFonts w:ascii="Garamond" w:hAnsi="Garamond"/>
          <w:color w:val="000000" w:themeColor="text1"/>
        </w:rPr>
        <w:t xml:space="preserve"> rendu</w:t>
      </w:r>
      <w:r w:rsidR="0057386E">
        <w:rPr>
          <w:rFonts w:ascii="Garamond" w:hAnsi="Garamond"/>
          <w:color w:val="000000" w:themeColor="text1"/>
        </w:rPr>
        <w:t>s</w:t>
      </w:r>
      <w:r>
        <w:rPr>
          <w:rFonts w:ascii="Garamond" w:hAnsi="Garamond"/>
          <w:color w:val="000000" w:themeColor="text1"/>
        </w:rPr>
        <w:t>, ces questions devront être soumises à l’avance à M. Jeannelle (</w:t>
      </w:r>
      <w:hyperlink r:id="rId6" w:history="1">
        <w:r w:rsidRPr="00647A67">
          <w:rPr>
            <w:rStyle w:val="Lienhypertexte"/>
            <w:rFonts w:ascii="Garamond" w:hAnsi="Garamond"/>
          </w:rPr>
          <w:t>jeannelle@fabula.org)</w:t>
        </w:r>
      </w:hyperlink>
      <w:r>
        <w:rPr>
          <w:rFonts w:ascii="Garamond" w:hAnsi="Garamond"/>
          <w:color w:val="000000" w:themeColor="text1"/>
        </w:rPr>
        <w:t xml:space="preserve"> et Mme Bouchardon (mariannebouchardon@yahoo.fr) </w:t>
      </w:r>
      <w:r w:rsidR="00013305">
        <w:rPr>
          <w:rFonts w:ascii="Garamond" w:hAnsi="Garamond"/>
          <w:color w:val="000000" w:themeColor="text1"/>
        </w:rPr>
        <w:t xml:space="preserve">au plus tard le </w:t>
      </w:r>
      <w:r w:rsidR="00013305" w:rsidRPr="00013305">
        <w:rPr>
          <w:rFonts w:ascii="Garamond" w:hAnsi="Garamond"/>
          <w:b/>
          <w:color w:val="000000" w:themeColor="text1"/>
        </w:rPr>
        <w:t>23 novembre</w:t>
      </w:r>
      <w:r>
        <w:rPr>
          <w:rFonts w:ascii="Garamond" w:hAnsi="Garamond"/>
          <w:color w:val="000000" w:themeColor="text1"/>
        </w:rPr>
        <w:t xml:space="preserve">. </w:t>
      </w:r>
    </w:p>
    <w:p w14:paraId="00E8F09A" w14:textId="77777777" w:rsidR="0073148A" w:rsidRDefault="0073148A" w:rsidP="00670D38">
      <w:pPr>
        <w:jc w:val="both"/>
        <w:rPr>
          <w:rFonts w:ascii="Garamond" w:hAnsi="Garamond"/>
          <w:b/>
          <w:color w:val="2E74B5" w:themeColor="accent1" w:themeShade="BF"/>
          <w:sz w:val="36"/>
          <w:szCs w:val="36"/>
        </w:rPr>
      </w:pPr>
    </w:p>
    <w:p w14:paraId="0362E42B" w14:textId="77777777" w:rsidR="0073148A" w:rsidRPr="00013305" w:rsidRDefault="0073148A" w:rsidP="00670D38">
      <w:pPr>
        <w:jc w:val="both"/>
        <w:rPr>
          <w:rFonts w:ascii="Garamond" w:hAnsi="Garamond"/>
          <w:color w:val="000000" w:themeColor="text1"/>
        </w:rPr>
      </w:pPr>
      <w:r w:rsidRPr="00013305">
        <w:rPr>
          <w:rFonts w:ascii="Garamond" w:hAnsi="Garamond"/>
          <w:color w:val="000000" w:themeColor="text1"/>
        </w:rPr>
        <w:t xml:space="preserve">SOIT </w:t>
      </w:r>
      <w:r w:rsidRPr="00013305">
        <w:rPr>
          <w:rFonts w:ascii="Garamond" w:hAnsi="Garamond"/>
          <w:b/>
          <w:color w:val="000000" w:themeColor="text1"/>
        </w:rPr>
        <w:t>après</w:t>
      </w:r>
      <w:r w:rsidRPr="00013305">
        <w:rPr>
          <w:rFonts w:ascii="Garamond" w:hAnsi="Garamond"/>
          <w:color w:val="000000" w:themeColor="text1"/>
        </w:rPr>
        <w:t xml:space="preserve"> le 30 novembre :</w:t>
      </w:r>
    </w:p>
    <w:p w14:paraId="096C9FA1" w14:textId="77777777" w:rsidR="00DA5298" w:rsidRDefault="0073148A" w:rsidP="00013305">
      <w:pPr>
        <w:jc w:val="both"/>
        <w:rPr>
          <w:rFonts w:ascii="Garamond" w:hAnsi="Garamond"/>
          <w:color w:val="000000" w:themeColor="text1"/>
        </w:rPr>
      </w:pPr>
      <w:r w:rsidRPr="00013305">
        <w:rPr>
          <w:rFonts w:ascii="Garamond" w:hAnsi="Garamond"/>
          <w:color w:val="000000" w:themeColor="text1"/>
        </w:rPr>
        <w:t xml:space="preserve">La </w:t>
      </w:r>
      <w:r w:rsidRPr="00013305">
        <w:rPr>
          <w:rFonts w:ascii="Garamond" w:hAnsi="Garamond"/>
          <w:b/>
          <w:color w:val="000000" w:themeColor="text1"/>
        </w:rPr>
        <w:t>synthèse</w:t>
      </w:r>
      <w:r w:rsidRPr="00013305">
        <w:rPr>
          <w:rFonts w:ascii="Garamond" w:hAnsi="Garamond"/>
          <w:color w:val="000000" w:themeColor="text1"/>
        </w:rPr>
        <w:t xml:space="preserve"> de la rencontre elle-même, c’est-à-dire de la présentation de leurs livres par les </w:t>
      </w:r>
      <w:r w:rsidR="00D91624" w:rsidRPr="00013305">
        <w:rPr>
          <w:rFonts w:ascii="Garamond" w:hAnsi="Garamond"/>
          <w:color w:val="000000" w:themeColor="text1"/>
        </w:rPr>
        <w:t xml:space="preserve">trois </w:t>
      </w:r>
      <w:r w:rsidRPr="00013305">
        <w:rPr>
          <w:rFonts w:ascii="Garamond" w:hAnsi="Garamond"/>
          <w:color w:val="000000" w:themeColor="text1"/>
        </w:rPr>
        <w:t>intervenantes ainsi que des réponses qu’elles auront apportées aux questions qui leur auront été posées.</w:t>
      </w:r>
      <w:r w:rsidR="00D91624" w:rsidRPr="00013305">
        <w:rPr>
          <w:rFonts w:ascii="Garamond" w:hAnsi="Garamond"/>
          <w:color w:val="000000" w:themeColor="text1"/>
        </w:rPr>
        <w:t xml:space="preserve"> Ces synthèses devront être remises à M. Jeannelle ou à Mme Bouchardon</w:t>
      </w:r>
      <w:r w:rsidR="00013305" w:rsidRPr="00013305">
        <w:rPr>
          <w:rFonts w:ascii="Garamond" w:hAnsi="Garamond"/>
          <w:color w:val="000000" w:themeColor="text1"/>
        </w:rPr>
        <w:t xml:space="preserve"> au plus tard le </w:t>
      </w:r>
      <w:r w:rsidR="00013305" w:rsidRPr="00013305">
        <w:rPr>
          <w:rFonts w:ascii="Garamond" w:hAnsi="Garamond"/>
          <w:b/>
          <w:color w:val="000000" w:themeColor="text1"/>
        </w:rPr>
        <w:t>14 décembre</w:t>
      </w:r>
      <w:r w:rsidR="00D91624" w:rsidRPr="00013305">
        <w:rPr>
          <w:rFonts w:ascii="Garamond" w:hAnsi="Garamond"/>
          <w:color w:val="000000" w:themeColor="text1"/>
        </w:rPr>
        <w:t>.</w:t>
      </w:r>
      <w:r w:rsidR="00013305" w:rsidRPr="00013305">
        <w:rPr>
          <w:rFonts w:ascii="Garamond" w:hAnsi="Garamond"/>
          <w:color w:val="000000" w:themeColor="text1"/>
        </w:rPr>
        <w:t xml:space="preserve"> </w:t>
      </w:r>
    </w:p>
    <w:p w14:paraId="118515F6" w14:textId="25D5A752" w:rsidR="00013305" w:rsidRDefault="00DA5298" w:rsidP="00013305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! </w:t>
      </w:r>
      <w:r w:rsidR="00013305" w:rsidRPr="00013305">
        <w:rPr>
          <w:rFonts w:ascii="Garamond" w:hAnsi="Garamond"/>
          <w:color w:val="000000" w:themeColor="text1"/>
        </w:rPr>
        <w:t xml:space="preserve">La méthode à </w:t>
      </w:r>
      <w:r w:rsidR="00013305" w:rsidRPr="00670D38">
        <w:rPr>
          <w:rFonts w:ascii="Garamond" w:hAnsi="Garamond"/>
          <w:color w:val="000000" w:themeColor="text1"/>
        </w:rPr>
        <w:t>suivre pour réaliser de cet exercice est indiquée ci-dessous.</w:t>
      </w:r>
    </w:p>
    <w:p w14:paraId="2A4E0AD7" w14:textId="77777777" w:rsidR="00013305" w:rsidRDefault="00013305" w:rsidP="00013305">
      <w:pPr>
        <w:jc w:val="both"/>
        <w:rPr>
          <w:rFonts w:ascii="Garamond" w:hAnsi="Garamond"/>
          <w:color w:val="000000" w:themeColor="text1"/>
        </w:rPr>
      </w:pPr>
    </w:p>
    <w:p w14:paraId="48955BCE" w14:textId="77777777" w:rsidR="00013305" w:rsidRDefault="00013305" w:rsidP="00013305">
      <w:pPr>
        <w:jc w:val="both"/>
        <w:rPr>
          <w:rFonts w:ascii="Garamond" w:hAnsi="Garamond"/>
          <w:color w:val="000000" w:themeColor="text1"/>
        </w:rPr>
      </w:pPr>
      <w:r w:rsidRPr="00670D38">
        <w:rPr>
          <w:rFonts w:ascii="Garamond" w:hAnsi="Garamond"/>
          <w:color w:val="000000" w:themeColor="text1"/>
        </w:rPr>
        <w:t xml:space="preserve">Pour les étudiants de </w:t>
      </w:r>
      <w:r w:rsidRPr="00670D38">
        <w:rPr>
          <w:rFonts w:ascii="Garamond" w:hAnsi="Garamond"/>
          <w:b/>
          <w:color w:val="000000" w:themeColor="text1"/>
        </w:rPr>
        <w:t xml:space="preserve">Licence </w:t>
      </w:r>
      <w:r w:rsidRPr="005942DE">
        <w:rPr>
          <w:rFonts w:ascii="Garamond" w:hAnsi="Garamond"/>
          <w:b/>
          <w:color w:val="000000" w:themeColor="text1"/>
        </w:rPr>
        <w:t>3 parcours « Édition »</w:t>
      </w:r>
      <w:r>
        <w:rPr>
          <w:rFonts w:ascii="Garamond" w:hAnsi="Garamond"/>
          <w:color w:val="000000" w:themeColor="text1"/>
        </w:rPr>
        <w:t xml:space="preserve">, la séance de cours de M. </w:t>
      </w:r>
      <w:proofErr w:type="spellStart"/>
      <w:r>
        <w:rPr>
          <w:rFonts w:ascii="Garamond" w:hAnsi="Garamond"/>
          <w:color w:val="000000" w:themeColor="text1"/>
        </w:rPr>
        <w:t>Bessire</w:t>
      </w:r>
      <w:proofErr w:type="spellEnd"/>
      <w:r>
        <w:rPr>
          <w:rFonts w:ascii="Garamond" w:hAnsi="Garamond"/>
          <w:color w:val="000000" w:themeColor="text1"/>
        </w:rPr>
        <w:t xml:space="preserve"> sur « L’auteur, le texte, le livre », prévue de 14 h à 15 30, sera </w:t>
      </w:r>
      <w:r w:rsidRPr="00670D38">
        <w:rPr>
          <w:rFonts w:ascii="Garamond" w:hAnsi="Garamond"/>
          <w:b/>
          <w:color w:val="000000" w:themeColor="text1"/>
        </w:rPr>
        <w:t>exceptionnellement</w:t>
      </w:r>
      <w:r>
        <w:rPr>
          <w:rFonts w:ascii="Garamond" w:hAnsi="Garamond"/>
          <w:color w:val="000000" w:themeColor="text1"/>
        </w:rPr>
        <w:t xml:space="preserve"> remplacée par cette demi-journée. Les </w:t>
      </w:r>
      <w:r w:rsidRPr="00670D38">
        <w:rPr>
          <w:rFonts w:ascii="Garamond" w:hAnsi="Garamond"/>
          <w:color w:val="000000" w:themeColor="text1"/>
        </w:rPr>
        <w:t xml:space="preserve">étudiants auront ensuite à remettre à M. </w:t>
      </w:r>
      <w:proofErr w:type="spellStart"/>
      <w:r w:rsidRPr="00670D38">
        <w:rPr>
          <w:rFonts w:ascii="Garamond" w:hAnsi="Garamond"/>
          <w:color w:val="000000" w:themeColor="text1"/>
        </w:rPr>
        <w:t>Bessire</w:t>
      </w:r>
      <w:proofErr w:type="spellEnd"/>
      <w:r w:rsidRPr="00670D38">
        <w:rPr>
          <w:rFonts w:ascii="Garamond" w:hAnsi="Garamond"/>
          <w:color w:val="000000" w:themeColor="text1"/>
        </w:rPr>
        <w:t xml:space="preserve"> une </w:t>
      </w:r>
      <w:r w:rsidRPr="00670D38">
        <w:rPr>
          <w:rFonts w:ascii="Garamond" w:hAnsi="Garamond"/>
          <w:b/>
          <w:color w:val="000000" w:themeColor="text1"/>
        </w:rPr>
        <w:t>synthèse</w:t>
      </w:r>
      <w:r w:rsidRPr="00670D38">
        <w:rPr>
          <w:rFonts w:ascii="Garamond" w:hAnsi="Garamond"/>
          <w:color w:val="000000" w:themeColor="text1"/>
        </w:rPr>
        <w:t xml:space="preserve"> de la demi-journée à laquelle il</w:t>
      </w:r>
      <w:r>
        <w:rPr>
          <w:rFonts w:ascii="Garamond" w:hAnsi="Garamond"/>
          <w:color w:val="000000" w:themeColor="text1"/>
        </w:rPr>
        <w:t>s</w:t>
      </w:r>
      <w:r w:rsidRPr="00670D38">
        <w:rPr>
          <w:rFonts w:ascii="Garamond" w:hAnsi="Garamond"/>
          <w:color w:val="000000" w:themeColor="text1"/>
        </w:rPr>
        <w:t xml:space="preserve"> aur</w:t>
      </w:r>
      <w:r>
        <w:rPr>
          <w:rFonts w:ascii="Garamond" w:hAnsi="Garamond"/>
          <w:color w:val="000000" w:themeColor="text1"/>
        </w:rPr>
        <w:t>ont</w:t>
      </w:r>
      <w:r w:rsidRPr="00670D38">
        <w:rPr>
          <w:rFonts w:ascii="Garamond" w:hAnsi="Garamond"/>
          <w:color w:val="000000" w:themeColor="text1"/>
        </w:rPr>
        <w:t xml:space="preserve"> assisté.</w:t>
      </w:r>
      <w:r>
        <w:rPr>
          <w:rFonts w:ascii="Garamond" w:hAnsi="Garamond"/>
          <w:color w:val="000000" w:themeColor="text1"/>
        </w:rPr>
        <w:t xml:space="preserve"> Cette synthèse donnera lieu à une </w:t>
      </w:r>
      <w:r w:rsidRPr="0073148A">
        <w:rPr>
          <w:rFonts w:ascii="Garamond" w:hAnsi="Garamond"/>
          <w:b/>
          <w:color w:val="000000" w:themeColor="text1"/>
        </w:rPr>
        <w:t>note</w:t>
      </w:r>
      <w:r>
        <w:rPr>
          <w:rFonts w:ascii="Garamond" w:hAnsi="Garamond"/>
          <w:color w:val="000000" w:themeColor="text1"/>
        </w:rPr>
        <w:t xml:space="preserve"> qui comptera dans la validation du cours. </w:t>
      </w:r>
    </w:p>
    <w:p w14:paraId="75F4BA20" w14:textId="1D1F9148" w:rsidR="00013305" w:rsidRDefault="00013305" w:rsidP="00013305">
      <w:pPr>
        <w:jc w:val="both"/>
        <w:rPr>
          <w:rFonts w:ascii="Garamond" w:hAnsi="Garamond"/>
          <w:color w:val="2E74B5" w:themeColor="accent1" w:themeShade="BF"/>
        </w:rPr>
      </w:pPr>
      <w:r>
        <w:rPr>
          <w:rFonts w:ascii="Garamond" w:hAnsi="Garamond"/>
          <w:color w:val="000000" w:themeColor="text1"/>
        </w:rPr>
        <w:t xml:space="preserve">! </w:t>
      </w:r>
      <w:r w:rsidRPr="00670D38">
        <w:rPr>
          <w:rFonts w:ascii="Garamond" w:hAnsi="Garamond"/>
          <w:color w:val="000000" w:themeColor="text1"/>
        </w:rPr>
        <w:t>La méthode à suivre pour réaliser de cet exercice est indiquée ci-dessous.</w:t>
      </w:r>
    </w:p>
    <w:p w14:paraId="0F02B55F" w14:textId="77777777" w:rsidR="00013305" w:rsidRDefault="00013305" w:rsidP="00013305">
      <w:pPr>
        <w:jc w:val="both"/>
        <w:rPr>
          <w:rFonts w:ascii="Garamond" w:hAnsi="Garamond"/>
          <w:color w:val="2E74B5" w:themeColor="accent1" w:themeShade="BF"/>
        </w:rPr>
      </w:pPr>
    </w:p>
    <w:p w14:paraId="03D7FD26" w14:textId="1080BCA6" w:rsidR="0073148A" w:rsidRPr="00DA5298" w:rsidRDefault="00DA5298" w:rsidP="00DA5298">
      <w:pPr>
        <w:jc w:val="center"/>
        <w:rPr>
          <w:rFonts w:ascii="Garamond" w:hAnsi="Garamond"/>
          <w:b/>
          <w:color w:val="2E74B5" w:themeColor="accent1" w:themeShade="BF"/>
        </w:rPr>
      </w:pPr>
      <w:r w:rsidRPr="00DA5298">
        <w:rPr>
          <w:rFonts w:ascii="Garamond" w:hAnsi="Garamond"/>
          <w:b/>
          <w:color w:val="2E74B5" w:themeColor="accent1" w:themeShade="BF"/>
        </w:rPr>
        <w:t>Méthode de la synthèse</w:t>
      </w:r>
    </w:p>
    <w:p w14:paraId="10174A45" w14:textId="77777777" w:rsidR="00D91624" w:rsidRDefault="00D91624" w:rsidP="00670D38">
      <w:pPr>
        <w:jc w:val="both"/>
        <w:rPr>
          <w:rFonts w:ascii="Garamond" w:hAnsi="Garamond"/>
          <w:color w:val="2E74B5" w:themeColor="accent1" w:themeShade="BF"/>
        </w:rPr>
      </w:pPr>
    </w:p>
    <w:p w14:paraId="06555202" w14:textId="6155BC8D" w:rsidR="000F4BEA" w:rsidRDefault="0073148A" w:rsidP="00670D38">
      <w:pPr>
        <w:jc w:val="both"/>
        <w:rPr>
          <w:rFonts w:ascii="Garamond" w:hAnsi="Garamond"/>
          <w:color w:val="000000" w:themeColor="text1"/>
        </w:rPr>
      </w:pPr>
      <w:r w:rsidRPr="00DA5298">
        <w:rPr>
          <w:rFonts w:ascii="Garamond" w:hAnsi="Garamond"/>
          <w:color w:val="000000" w:themeColor="text1"/>
        </w:rPr>
        <w:t>Cette synthèse</w:t>
      </w:r>
      <w:r w:rsidR="00DA5298">
        <w:rPr>
          <w:rFonts w:ascii="Garamond" w:hAnsi="Garamond"/>
          <w:color w:val="000000" w:themeColor="text1"/>
        </w:rPr>
        <w:t xml:space="preserve"> sera conçue selon la méthode en vigueur aux </w:t>
      </w:r>
      <w:r w:rsidR="00DA5298" w:rsidRPr="00DA5298">
        <w:rPr>
          <w:rFonts w:ascii="Garamond" w:hAnsi="Garamond"/>
          <w:color w:val="000000" w:themeColor="text1"/>
        </w:rPr>
        <w:t>concours d’entrée aux grandes écoles</w:t>
      </w:r>
      <w:r w:rsidR="00DA5298">
        <w:rPr>
          <w:rFonts w:ascii="Garamond" w:hAnsi="Garamond"/>
          <w:color w:val="000000" w:themeColor="text1"/>
        </w:rPr>
        <w:t xml:space="preserve"> de commerce. Il s’agit d’un exercice à mi-chemin entre la contraction de texte et la dissertation. </w:t>
      </w:r>
      <w:r w:rsidR="0057386E">
        <w:rPr>
          <w:rFonts w:ascii="Garamond" w:hAnsi="Garamond"/>
          <w:color w:val="000000" w:themeColor="text1"/>
        </w:rPr>
        <w:t xml:space="preserve">La </w:t>
      </w:r>
      <w:r w:rsidR="007947D7">
        <w:rPr>
          <w:rFonts w:ascii="Garamond" w:hAnsi="Garamond"/>
          <w:color w:val="000000" w:themeColor="text1"/>
        </w:rPr>
        <w:t xml:space="preserve">synthèse est </w:t>
      </w:r>
      <w:r w:rsidR="00DA5298">
        <w:rPr>
          <w:rFonts w:ascii="Garamond" w:hAnsi="Garamond"/>
          <w:color w:val="000000" w:themeColor="text1"/>
        </w:rPr>
        <w:t xml:space="preserve">traditionnellement </w:t>
      </w:r>
      <w:r w:rsidR="007947D7">
        <w:rPr>
          <w:rFonts w:ascii="Garamond" w:hAnsi="Garamond"/>
          <w:color w:val="000000" w:themeColor="text1"/>
        </w:rPr>
        <w:t xml:space="preserve">celle </w:t>
      </w:r>
      <w:r w:rsidR="00DA5298">
        <w:rPr>
          <w:rFonts w:ascii="Garamond" w:hAnsi="Garamond"/>
          <w:color w:val="000000" w:themeColor="text1"/>
        </w:rPr>
        <w:t xml:space="preserve">de trois textes, mais, en l’occurrence, </w:t>
      </w:r>
      <w:r w:rsidR="007947D7">
        <w:rPr>
          <w:rFonts w:ascii="Garamond" w:hAnsi="Garamond"/>
          <w:color w:val="000000" w:themeColor="text1"/>
        </w:rPr>
        <w:t>elle sera celle d</w:t>
      </w:r>
      <w:r w:rsidR="00DA5298">
        <w:rPr>
          <w:rFonts w:ascii="Garamond" w:hAnsi="Garamond"/>
          <w:color w:val="000000" w:themeColor="text1"/>
        </w:rPr>
        <w:t xml:space="preserve">e trois discours : celui de Marielle Macé, auteur de </w:t>
      </w:r>
      <w:r w:rsidR="00DA5298" w:rsidRPr="00DA5298">
        <w:rPr>
          <w:rFonts w:ascii="Garamond" w:hAnsi="Garamond"/>
          <w:i/>
          <w:color w:val="000000" w:themeColor="text1"/>
        </w:rPr>
        <w:t>Façons de lire, manières d’être</w:t>
      </w:r>
      <w:r w:rsidR="00DA5298">
        <w:rPr>
          <w:rFonts w:ascii="Garamond" w:hAnsi="Garamond"/>
          <w:color w:val="000000" w:themeColor="text1"/>
        </w:rPr>
        <w:t xml:space="preserve"> (2011), celui de Hélène Merlin-</w:t>
      </w:r>
      <w:proofErr w:type="spellStart"/>
      <w:r w:rsidR="00DA5298">
        <w:rPr>
          <w:rFonts w:ascii="Garamond" w:hAnsi="Garamond"/>
          <w:color w:val="000000" w:themeColor="text1"/>
        </w:rPr>
        <w:t>Kajeman</w:t>
      </w:r>
      <w:proofErr w:type="spellEnd"/>
      <w:r w:rsidR="00DA5298">
        <w:rPr>
          <w:rFonts w:ascii="Garamond" w:hAnsi="Garamond"/>
          <w:color w:val="000000" w:themeColor="text1"/>
        </w:rPr>
        <w:t xml:space="preserve">, auteur de </w:t>
      </w:r>
      <w:r w:rsidR="00DA5298" w:rsidRPr="00DA5298">
        <w:rPr>
          <w:rFonts w:ascii="Garamond" w:hAnsi="Garamond"/>
          <w:i/>
          <w:color w:val="000000" w:themeColor="text1"/>
        </w:rPr>
        <w:t>Lire dans la gueule du loup</w:t>
      </w:r>
      <w:r w:rsidR="00DA5298">
        <w:rPr>
          <w:rFonts w:ascii="Garamond" w:hAnsi="Garamond"/>
          <w:color w:val="000000" w:themeColor="text1"/>
        </w:rPr>
        <w:t xml:space="preserve"> (2016), celui de Michèle Petit, auteur de </w:t>
      </w:r>
      <w:r w:rsidR="00DA5298" w:rsidRPr="00DA5298">
        <w:rPr>
          <w:rFonts w:ascii="Garamond" w:hAnsi="Garamond"/>
          <w:i/>
          <w:color w:val="000000" w:themeColor="text1"/>
        </w:rPr>
        <w:t>L’Art de lire</w:t>
      </w:r>
      <w:r w:rsidR="00DA5298">
        <w:rPr>
          <w:rFonts w:ascii="Garamond" w:hAnsi="Garamond"/>
          <w:color w:val="000000" w:themeColor="text1"/>
        </w:rPr>
        <w:t xml:space="preserve"> (2016). </w:t>
      </w:r>
      <w:r w:rsidR="007947D7">
        <w:rPr>
          <w:rFonts w:ascii="Garamond" w:hAnsi="Garamond"/>
          <w:color w:val="000000" w:themeColor="text1"/>
        </w:rPr>
        <w:t xml:space="preserve">L’objectif en sera de faire apparaître la question fondamentale posées par les trois intervenantes, puis les points de convergence et les points de divergence entre elles. À cet </w:t>
      </w:r>
      <w:r w:rsidR="007947D7">
        <w:rPr>
          <w:rFonts w:ascii="Garamond" w:hAnsi="Garamond"/>
          <w:color w:val="000000" w:themeColor="text1"/>
        </w:rPr>
        <w:lastRenderedPageBreak/>
        <w:t>effet, nous vous suggérons de faire votre brouillon de la manière suivante : après avoir relu les notes que vous aurez prises pendant la rencontre du 30 novembre, formulez une question générale à laquelle la rencontre a répondu (=la problématique), puis remplissez un tableau dans lequel cette question générale se décline en trois sous-questions, auxquelles chacune des interv</w:t>
      </w:r>
      <w:r w:rsidR="000F4BEA">
        <w:rPr>
          <w:rFonts w:ascii="Garamond" w:hAnsi="Garamond"/>
          <w:color w:val="000000" w:themeColor="text1"/>
        </w:rPr>
        <w:t>e</w:t>
      </w:r>
      <w:r w:rsidR="007947D7">
        <w:rPr>
          <w:rFonts w:ascii="Garamond" w:hAnsi="Garamond"/>
          <w:color w:val="000000" w:themeColor="text1"/>
        </w:rPr>
        <w:t xml:space="preserve">nantes </w:t>
      </w:r>
      <w:r w:rsidR="000F4BEA">
        <w:rPr>
          <w:rFonts w:ascii="Garamond" w:hAnsi="Garamond"/>
          <w:color w:val="000000" w:themeColor="text1"/>
        </w:rPr>
        <w:t>a apporté une réponse propre :</w:t>
      </w:r>
    </w:p>
    <w:p w14:paraId="0354A78C" w14:textId="77777777" w:rsidR="000F4BEA" w:rsidRDefault="000F4BEA" w:rsidP="00670D38">
      <w:pPr>
        <w:jc w:val="both"/>
        <w:rPr>
          <w:rFonts w:ascii="Garamond" w:hAnsi="Garamond"/>
          <w:color w:val="000000" w:themeColor="text1"/>
        </w:rPr>
      </w:pPr>
    </w:p>
    <w:p w14:paraId="677691E0" w14:textId="4AC731EA" w:rsidR="00903164" w:rsidRDefault="00903164" w:rsidP="00903164">
      <w:pPr>
        <w:jc w:val="center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Question générale (problématique)</w:t>
      </w:r>
    </w:p>
    <w:tbl>
      <w:tblPr>
        <w:tblStyle w:val="Grille"/>
        <w:tblW w:w="0" w:type="auto"/>
        <w:tblLook w:val="0460" w:firstRow="1" w:lastRow="1" w:firstColumn="0" w:lastColumn="0" w:noHBand="0" w:noVBand="1"/>
      </w:tblPr>
      <w:tblGrid>
        <w:gridCol w:w="2264"/>
        <w:gridCol w:w="2264"/>
        <w:gridCol w:w="2264"/>
        <w:gridCol w:w="2264"/>
      </w:tblGrid>
      <w:tr w:rsidR="00903164" w14:paraId="2829C6BF" w14:textId="77777777" w:rsidTr="00903164">
        <w:tc>
          <w:tcPr>
            <w:tcW w:w="2264" w:type="dxa"/>
          </w:tcPr>
          <w:p w14:paraId="2D19CD38" w14:textId="56D2BB4B" w:rsidR="00903164" w:rsidRDefault="00903164" w:rsidP="00670D38">
            <w:pPr>
              <w:jc w:val="both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Sous-question 1</w:t>
            </w:r>
          </w:p>
        </w:tc>
        <w:tc>
          <w:tcPr>
            <w:tcW w:w="2264" w:type="dxa"/>
          </w:tcPr>
          <w:p w14:paraId="51E2AB0B" w14:textId="20A2D20C" w:rsidR="00903164" w:rsidRDefault="00903164" w:rsidP="00903164">
            <w:pPr>
              <w:jc w:val="both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Réponse MP</w:t>
            </w:r>
          </w:p>
        </w:tc>
        <w:tc>
          <w:tcPr>
            <w:tcW w:w="2264" w:type="dxa"/>
          </w:tcPr>
          <w:p w14:paraId="7FC8ACB1" w14:textId="5378EA32" w:rsidR="00903164" w:rsidRDefault="00903164" w:rsidP="00670D38">
            <w:pPr>
              <w:jc w:val="both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Réponse HMK</w:t>
            </w:r>
          </w:p>
        </w:tc>
        <w:tc>
          <w:tcPr>
            <w:tcW w:w="2264" w:type="dxa"/>
          </w:tcPr>
          <w:p w14:paraId="5096117D" w14:textId="149D3704" w:rsidR="00903164" w:rsidRDefault="00903164" w:rsidP="00670D38">
            <w:pPr>
              <w:jc w:val="both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Réponse MM</w:t>
            </w:r>
          </w:p>
        </w:tc>
      </w:tr>
      <w:tr w:rsidR="00903164" w14:paraId="762378A3" w14:textId="77777777" w:rsidTr="00903164">
        <w:tc>
          <w:tcPr>
            <w:tcW w:w="2264" w:type="dxa"/>
          </w:tcPr>
          <w:p w14:paraId="65BA5B29" w14:textId="7C97F4A2" w:rsidR="00903164" w:rsidRDefault="00903164" w:rsidP="00670D38">
            <w:pPr>
              <w:jc w:val="both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Sous-question 2</w:t>
            </w:r>
          </w:p>
        </w:tc>
        <w:tc>
          <w:tcPr>
            <w:tcW w:w="2264" w:type="dxa"/>
          </w:tcPr>
          <w:p w14:paraId="39482290" w14:textId="2160E928" w:rsidR="00903164" w:rsidRDefault="00903164" w:rsidP="00670D38">
            <w:pPr>
              <w:jc w:val="both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Réponse MP</w:t>
            </w:r>
          </w:p>
        </w:tc>
        <w:tc>
          <w:tcPr>
            <w:tcW w:w="2264" w:type="dxa"/>
          </w:tcPr>
          <w:p w14:paraId="1F62D305" w14:textId="60BD5189" w:rsidR="00903164" w:rsidRDefault="00903164" w:rsidP="00670D38">
            <w:pPr>
              <w:jc w:val="both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Réponse HMK</w:t>
            </w:r>
          </w:p>
        </w:tc>
        <w:tc>
          <w:tcPr>
            <w:tcW w:w="2264" w:type="dxa"/>
          </w:tcPr>
          <w:p w14:paraId="2D461F17" w14:textId="6E545EB4" w:rsidR="00903164" w:rsidRDefault="00903164" w:rsidP="00670D38">
            <w:pPr>
              <w:jc w:val="both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Réponse MM</w:t>
            </w:r>
          </w:p>
        </w:tc>
      </w:tr>
      <w:tr w:rsidR="00903164" w14:paraId="427BE3A8" w14:textId="77777777" w:rsidTr="00903164">
        <w:tc>
          <w:tcPr>
            <w:tcW w:w="2264" w:type="dxa"/>
          </w:tcPr>
          <w:p w14:paraId="49D809C3" w14:textId="6C90E37C" w:rsidR="00903164" w:rsidRDefault="00903164" w:rsidP="00670D38">
            <w:pPr>
              <w:jc w:val="both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Sous-question 3</w:t>
            </w:r>
          </w:p>
        </w:tc>
        <w:tc>
          <w:tcPr>
            <w:tcW w:w="2264" w:type="dxa"/>
          </w:tcPr>
          <w:p w14:paraId="7FFB641D" w14:textId="1DDD725C" w:rsidR="00903164" w:rsidRDefault="00903164" w:rsidP="00670D38">
            <w:pPr>
              <w:jc w:val="both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Réponse MP</w:t>
            </w:r>
          </w:p>
        </w:tc>
        <w:tc>
          <w:tcPr>
            <w:tcW w:w="2264" w:type="dxa"/>
          </w:tcPr>
          <w:p w14:paraId="6A3CAA6A" w14:textId="59EDD8A6" w:rsidR="00903164" w:rsidRDefault="00903164" w:rsidP="00670D38">
            <w:pPr>
              <w:jc w:val="both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Réponse HMK</w:t>
            </w:r>
          </w:p>
        </w:tc>
        <w:tc>
          <w:tcPr>
            <w:tcW w:w="2264" w:type="dxa"/>
          </w:tcPr>
          <w:p w14:paraId="34628458" w14:textId="35C21FD2" w:rsidR="00903164" w:rsidRDefault="00903164" w:rsidP="00670D38">
            <w:pPr>
              <w:jc w:val="both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Réponse MM</w:t>
            </w:r>
          </w:p>
        </w:tc>
      </w:tr>
    </w:tbl>
    <w:p w14:paraId="40F38E6A" w14:textId="1237D78B" w:rsidR="000F4BEA" w:rsidRDefault="000F4BEA" w:rsidP="00670D38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 </w:t>
      </w:r>
    </w:p>
    <w:p w14:paraId="4BDC4AF6" w14:textId="47EBE4D9" w:rsidR="00DA5298" w:rsidRDefault="00903164" w:rsidP="00670D38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Pour que la synthèse soit réussie, il faut que toutes les cases soient remplies. Si à l’une de vos sous-questions, l’une des intervenantes n’apporte pas de réponse, c’est que la sous-question est mal choisie.</w:t>
      </w:r>
    </w:p>
    <w:p w14:paraId="1410146A" w14:textId="77777777" w:rsidR="00903164" w:rsidRDefault="00903164" w:rsidP="00670D38">
      <w:pPr>
        <w:jc w:val="both"/>
        <w:rPr>
          <w:rFonts w:ascii="Garamond" w:hAnsi="Garamond"/>
          <w:color w:val="000000" w:themeColor="text1"/>
        </w:rPr>
      </w:pPr>
    </w:p>
    <w:p w14:paraId="6A08A3A4" w14:textId="51079196" w:rsidR="00670D38" w:rsidRDefault="00903164" w:rsidP="005B33A2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Dans sa forme finale, la synthèse est entièrement rédigée : elle représente plus ou moins 300</w:t>
      </w:r>
      <w:r w:rsidR="005B33A2">
        <w:rPr>
          <w:rFonts w:ascii="Garamond" w:hAnsi="Garamond"/>
          <w:color w:val="000000" w:themeColor="text1"/>
        </w:rPr>
        <w:t xml:space="preserve"> mots, c’est-à-dire environ</w:t>
      </w:r>
      <w:r>
        <w:rPr>
          <w:rFonts w:ascii="Garamond" w:hAnsi="Garamond"/>
          <w:color w:val="000000" w:themeColor="text1"/>
        </w:rPr>
        <w:t xml:space="preserve"> une page. En guise d’introduction</w:t>
      </w:r>
      <w:r w:rsidR="005B33A2">
        <w:rPr>
          <w:rFonts w:ascii="Garamond" w:hAnsi="Garamond"/>
          <w:color w:val="000000" w:themeColor="text1"/>
        </w:rPr>
        <w:t> :</w:t>
      </w:r>
      <w:r>
        <w:rPr>
          <w:rFonts w:ascii="Garamond" w:hAnsi="Garamond"/>
          <w:color w:val="000000" w:themeColor="text1"/>
        </w:rPr>
        <w:t xml:space="preserve"> la problématique, formulée sous la forme d’une question au style direct. Suivent trois paragraphes</w:t>
      </w:r>
      <w:r w:rsidR="005B33A2">
        <w:rPr>
          <w:rFonts w:ascii="Garamond" w:hAnsi="Garamond"/>
          <w:color w:val="000000" w:themeColor="text1"/>
        </w:rPr>
        <w:t xml:space="preserve"> qui, comme en dissertation, se succèdent de manière logique et progressive. </w:t>
      </w:r>
      <w:r>
        <w:rPr>
          <w:rFonts w:ascii="Garamond" w:hAnsi="Garamond"/>
          <w:color w:val="000000" w:themeColor="text1"/>
        </w:rPr>
        <w:t>Cha</w:t>
      </w:r>
      <w:r w:rsidR="005B33A2">
        <w:rPr>
          <w:rFonts w:ascii="Garamond" w:hAnsi="Garamond"/>
          <w:color w:val="000000" w:themeColor="text1"/>
        </w:rPr>
        <w:t xml:space="preserve">que paragraphe </w:t>
      </w:r>
      <w:r>
        <w:rPr>
          <w:rFonts w:ascii="Garamond" w:hAnsi="Garamond"/>
          <w:color w:val="000000" w:themeColor="text1"/>
        </w:rPr>
        <w:t xml:space="preserve">s’ouvre par une </w:t>
      </w:r>
      <w:r w:rsidR="005B33A2">
        <w:rPr>
          <w:rFonts w:ascii="Garamond" w:hAnsi="Garamond"/>
          <w:color w:val="000000" w:themeColor="text1"/>
        </w:rPr>
        <w:t xml:space="preserve">question </w:t>
      </w:r>
      <w:r>
        <w:rPr>
          <w:rFonts w:ascii="Garamond" w:hAnsi="Garamond"/>
          <w:color w:val="000000" w:themeColor="text1"/>
        </w:rPr>
        <w:t xml:space="preserve">au style direct. </w:t>
      </w:r>
      <w:r w:rsidR="005B33A2">
        <w:rPr>
          <w:rFonts w:ascii="Garamond" w:hAnsi="Garamond"/>
          <w:color w:val="000000" w:themeColor="text1"/>
        </w:rPr>
        <w:t xml:space="preserve">À l’intérieur de chaque paragraphe, chacune des trois intervenantes doit être </w:t>
      </w:r>
      <w:r w:rsidR="007611EB">
        <w:rPr>
          <w:rFonts w:ascii="Garamond" w:hAnsi="Garamond"/>
          <w:color w:val="000000" w:themeColor="text1"/>
        </w:rPr>
        <w:t>évoquée une fois</w:t>
      </w:r>
      <w:r w:rsidR="005B33A2">
        <w:rPr>
          <w:rFonts w:ascii="Garamond" w:hAnsi="Garamond"/>
          <w:color w:val="000000" w:themeColor="text1"/>
        </w:rPr>
        <w:t xml:space="preserve">, de préférence pas </w:t>
      </w:r>
      <w:r w:rsidR="0057386E">
        <w:rPr>
          <w:rFonts w:ascii="Garamond" w:hAnsi="Garamond"/>
          <w:color w:val="000000" w:themeColor="text1"/>
        </w:rPr>
        <w:t>toujours dans le même ordre</w:t>
      </w:r>
      <w:r w:rsidR="005B33A2">
        <w:rPr>
          <w:rFonts w:ascii="Garamond" w:hAnsi="Garamond"/>
          <w:color w:val="000000" w:themeColor="text1"/>
        </w:rPr>
        <w:t>. Leurs idées sont rapportées au style indirect. Il convient</w:t>
      </w:r>
      <w:r w:rsidR="0057386E">
        <w:rPr>
          <w:rFonts w:ascii="Garamond" w:hAnsi="Garamond"/>
          <w:color w:val="000000" w:themeColor="text1"/>
        </w:rPr>
        <w:t>, pour les introduire,</w:t>
      </w:r>
      <w:r w:rsidR="005B33A2">
        <w:rPr>
          <w:rFonts w:ascii="Garamond" w:hAnsi="Garamond"/>
          <w:color w:val="000000" w:themeColor="text1"/>
        </w:rPr>
        <w:t xml:space="preserve"> de varier les verbes d’opinions, de pensées, de parole</w:t>
      </w:r>
      <w:r w:rsidR="0057386E">
        <w:rPr>
          <w:rFonts w:ascii="Garamond" w:hAnsi="Garamond"/>
          <w:color w:val="000000" w:themeColor="text1"/>
        </w:rPr>
        <w:t xml:space="preserve">. </w:t>
      </w:r>
      <w:r w:rsidR="000957A0">
        <w:rPr>
          <w:rFonts w:ascii="Garamond" w:hAnsi="Garamond"/>
          <w:color w:val="000000" w:themeColor="text1"/>
        </w:rPr>
        <w:t>Pas de conclusion.</w:t>
      </w:r>
    </w:p>
    <w:p w14:paraId="1915597D" w14:textId="77777777" w:rsidR="007611EB" w:rsidRDefault="007611EB" w:rsidP="005B33A2">
      <w:pPr>
        <w:jc w:val="both"/>
        <w:rPr>
          <w:rFonts w:ascii="Garamond" w:hAnsi="Garamond"/>
          <w:color w:val="000000" w:themeColor="text1"/>
        </w:rPr>
      </w:pPr>
    </w:p>
    <w:p w14:paraId="6316E228" w14:textId="3E8E4C8B" w:rsidR="007611EB" w:rsidRPr="000957A0" w:rsidRDefault="0057386E" w:rsidP="000957A0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5B9BD5" w:themeColor="accent1"/>
        </w:rPr>
        <w:t>V</w:t>
      </w:r>
      <w:r w:rsidR="000957A0" w:rsidRPr="000957A0">
        <w:rPr>
          <w:rFonts w:ascii="Garamond" w:hAnsi="Garamond"/>
          <w:color w:val="5B9BD5" w:themeColor="accent1"/>
        </w:rPr>
        <w:t>oici schématiquement à quoi devront ressembler les synthèses</w:t>
      </w:r>
      <w:r w:rsidR="000957A0">
        <w:rPr>
          <w:rFonts w:ascii="Garamond" w:hAnsi="Garamond"/>
          <w:color w:val="5B9BD5" w:themeColor="accent1"/>
        </w:rPr>
        <w:t> </w:t>
      </w:r>
      <w:r>
        <w:rPr>
          <w:rFonts w:ascii="Garamond" w:hAnsi="Garamond"/>
          <w:color w:val="5B9BD5" w:themeColor="accent1"/>
        </w:rPr>
        <w:t xml:space="preserve">(les paragraphes ne sont évidemment que des exemples !) </w:t>
      </w:r>
      <w:r w:rsidR="000957A0">
        <w:rPr>
          <w:rFonts w:ascii="Garamond" w:hAnsi="Garamond"/>
          <w:color w:val="5B9BD5" w:themeColor="accent1"/>
        </w:rPr>
        <w:t>:</w:t>
      </w:r>
      <w:r w:rsidR="000957A0">
        <w:rPr>
          <w:rFonts w:ascii="Garamond" w:hAnsi="Garamond"/>
          <w:color w:val="000000" w:themeColor="text1"/>
        </w:rPr>
        <w:t xml:space="preserve"> </w:t>
      </w:r>
    </w:p>
    <w:p w14:paraId="3843AC26" w14:textId="77777777" w:rsidR="007611EB" w:rsidRDefault="007611EB" w:rsidP="005B33A2">
      <w:pPr>
        <w:jc w:val="both"/>
        <w:rPr>
          <w:rFonts w:ascii="Garamond" w:hAnsi="Garamond"/>
          <w:color w:val="000000" w:themeColor="text1"/>
        </w:rPr>
      </w:pPr>
    </w:p>
    <w:p w14:paraId="5D112728" w14:textId="090DD731" w:rsidR="007611EB" w:rsidRDefault="007611EB" w:rsidP="005B33A2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Question générale ?</w:t>
      </w:r>
    </w:p>
    <w:p w14:paraId="2654D120" w14:textId="77777777" w:rsidR="007611EB" w:rsidRDefault="007611EB" w:rsidP="005B33A2">
      <w:pPr>
        <w:jc w:val="both"/>
        <w:rPr>
          <w:rFonts w:ascii="Garamond" w:hAnsi="Garamond"/>
          <w:color w:val="000000" w:themeColor="text1"/>
        </w:rPr>
      </w:pPr>
    </w:p>
    <w:p w14:paraId="730536FC" w14:textId="4B04AEFE" w:rsidR="007611EB" w:rsidRDefault="007611EB" w:rsidP="005B33A2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Sous-question 1 ?</w:t>
      </w:r>
    </w:p>
    <w:p w14:paraId="3EBC3A23" w14:textId="77777777" w:rsidR="007611EB" w:rsidRDefault="007611EB" w:rsidP="005B33A2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Alors que MP et MM soutiennent que…, HMK fait valoir…</w:t>
      </w:r>
    </w:p>
    <w:p w14:paraId="1E2B4368" w14:textId="77777777" w:rsidR="007611EB" w:rsidRDefault="007611EB" w:rsidP="005B33A2">
      <w:pPr>
        <w:jc w:val="both"/>
        <w:rPr>
          <w:rFonts w:ascii="Garamond" w:hAnsi="Garamond"/>
          <w:color w:val="000000" w:themeColor="text1"/>
        </w:rPr>
      </w:pPr>
    </w:p>
    <w:p w14:paraId="56030B3B" w14:textId="77777777" w:rsidR="007611EB" w:rsidRDefault="007611EB" w:rsidP="005B33A2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Sous-question 2 ?</w:t>
      </w:r>
    </w:p>
    <w:p w14:paraId="662AE706" w14:textId="77777777" w:rsidR="007611EB" w:rsidRDefault="007611EB" w:rsidP="005B33A2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Pour MM… Pour HMK… En revanche, c’est plutôt, selon MP, … qui…</w:t>
      </w:r>
    </w:p>
    <w:p w14:paraId="37D4E455" w14:textId="77777777" w:rsidR="007611EB" w:rsidRDefault="007611EB" w:rsidP="005B33A2">
      <w:pPr>
        <w:jc w:val="both"/>
        <w:rPr>
          <w:rFonts w:ascii="Garamond" w:hAnsi="Garamond"/>
          <w:color w:val="000000" w:themeColor="text1"/>
        </w:rPr>
      </w:pPr>
    </w:p>
    <w:p w14:paraId="38F34595" w14:textId="77777777" w:rsidR="007611EB" w:rsidRDefault="007611EB" w:rsidP="005B33A2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Sous-question 3 ?</w:t>
      </w:r>
    </w:p>
    <w:p w14:paraId="1EE792D7" w14:textId="2A1DF3C5" w:rsidR="007611EB" w:rsidRDefault="007611EB" w:rsidP="005B33A2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De même que l’approche… de MP tend à montrer que…, de même l’approche… de HMK conduit à prouver que… Quant à MM, elle préfère</w:t>
      </w:r>
      <w:r w:rsidR="0057386E">
        <w:rPr>
          <w:rFonts w:ascii="Garamond" w:hAnsi="Garamond"/>
          <w:color w:val="000000" w:themeColor="text1"/>
        </w:rPr>
        <w:t xml:space="preserve"> souligner</w:t>
      </w:r>
      <w:r>
        <w:rPr>
          <w:rFonts w:ascii="Garamond" w:hAnsi="Garamond"/>
          <w:color w:val="000000" w:themeColor="text1"/>
        </w:rPr>
        <w:t>…</w:t>
      </w:r>
    </w:p>
    <w:p w14:paraId="1DDD75C4" w14:textId="77777777" w:rsidR="002C39EB" w:rsidRDefault="002C39EB" w:rsidP="005B33A2">
      <w:pPr>
        <w:jc w:val="both"/>
        <w:rPr>
          <w:rFonts w:ascii="Garamond" w:hAnsi="Garamond"/>
          <w:color w:val="000000" w:themeColor="text1"/>
        </w:rPr>
      </w:pPr>
    </w:p>
    <w:p w14:paraId="53FBA702" w14:textId="77777777" w:rsidR="002C39EB" w:rsidRDefault="002C39EB" w:rsidP="005B33A2">
      <w:pPr>
        <w:jc w:val="both"/>
        <w:rPr>
          <w:rFonts w:ascii="Garamond" w:hAnsi="Garamond"/>
          <w:color w:val="000000" w:themeColor="text1"/>
        </w:rPr>
      </w:pPr>
    </w:p>
    <w:p w14:paraId="48378F27" w14:textId="77777777" w:rsidR="00377A1F" w:rsidRDefault="00377A1F" w:rsidP="002C39EB">
      <w:pPr>
        <w:jc w:val="right"/>
        <w:rPr>
          <w:rFonts w:ascii="Garamond" w:hAnsi="Garamond"/>
          <w:color w:val="000000" w:themeColor="text1"/>
        </w:rPr>
      </w:pPr>
    </w:p>
    <w:p w14:paraId="7842EA83" w14:textId="33FECED3" w:rsidR="002C39EB" w:rsidRDefault="002C39EB" w:rsidP="002C39EB">
      <w:pPr>
        <w:jc w:val="right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Bon courage !</w:t>
      </w:r>
    </w:p>
    <w:p w14:paraId="167BA383" w14:textId="77777777" w:rsidR="00377A1F" w:rsidRDefault="00377A1F" w:rsidP="002C39EB">
      <w:pPr>
        <w:jc w:val="right"/>
        <w:rPr>
          <w:rFonts w:ascii="Garamond" w:hAnsi="Garamond"/>
          <w:color w:val="000000" w:themeColor="text1"/>
        </w:rPr>
      </w:pPr>
    </w:p>
    <w:p w14:paraId="51514CD8" w14:textId="36FDCC4B" w:rsidR="002C39EB" w:rsidRDefault="002C39EB" w:rsidP="002C39EB">
      <w:pPr>
        <w:jc w:val="right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Marianne Bouchardon et Jean-Louis Jeannelle</w:t>
      </w:r>
    </w:p>
    <w:p w14:paraId="172FF849" w14:textId="77777777" w:rsidR="007611EB" w:rsidRDefault="007611EB" w:rsidP="005B33A2">
      <w:pPr>
        <w:jc w:val="both"/>
        <w:rPr>
          <w:rFonts w:ascii="Garamond" w:hAnsi="Garamond"/>
          <w:color w:val="000000" w:themeColor="text1"/>
        </w:rPr>
      </w:pPr>
    </w:p>
    <w:p w14:paraId="0DBA1EFE" w14:textId="77777777" w:rsidR="007611EB" w:rsidRDefault="007611EB" w:rsidP="005B33A2">
      <w:pPr>
        <w:jc w:val="both"/>
        <w:rPr>
          <w:rFonts w:ascii="Garamond" w:hAnsi="Garamond"/>
          <w:color w:val="000000" w:themeColor="text1"/>
        </w:rPr>
      </w:pPr>
    </w:p>
    <w:p w14:paraId="738E5C40" w14:textId="77777777" w:rsidR="007611EB" w:rsidRDefault="007611EB" w:rsidP="005B33A2">
      <w:pPr>
        <w:jc w:val="both"/>
        <w:rPr>
          <w:rFonts w:ascii="Garamond" w:hAnsi="Garamond"/>
          <w:color w:val="000000" w:themeColor="text1"/>
        </w:rPr>
      </w:pPr>
    </w:p>
    <w:p w14:paraId="3775ED20" w14:textId="77777777" w:rsidR="007611EB" w:rsidRDefault="007611EB" w:rsidP="005B33A2">
      <w:pPr>
        <w:jc w:val="both"/>
        <w:rPr>
          <w:rFonts w:ascii="Garamond" w:hAnsi="Garamond"/>
          <w:color w:val="000000" w:themeColor="text1"/>
        </w:rPr>
      </w:pPr>
    </w:p>
    <w:p w14:paraId="76181D71" w14:textId="77777777" w:rsidR="007611EB" w:rsidRDefault="007611EB" w:rsidP="005B33A2">
      <w:pPr>
        <w:jc w:val="both"/>
        <w:rPr>
          <w:rFonts w:ascii="Garamond" w:hAnsi="Garamond"/>
          <w:color w:val="000000" w:themeColor="text1"/>
        </w:rPr>
      </w:pPr>
    </w:p>
    <w:p w14:paraId="0FC54791" w14:textId="77777777" w:rsidR="007611EB" w:rsidRDefault="007611EB" w:rsidP="005B33A2">
      <w:pPr>
        <w:jc w:val="both"/>
        <w:rPr>
          <w:rFonts w:ascii="Garamond" w:hAnsi="Garamond"/>
          <w:color w:val="000000" w:themeColor="text1"/>
        </w:rPr>
      </w:pPr>
    </w:p>
    <w:p w14:paraId="3110974D" w14:textId="77777777" w:rsidR="00576FDC" w:rsidRPr="005942DE" w:rsidRDefault="005942DE" w:rsidP="005942D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sectPr w:rsidR="00576FDC" w:rsidRPr="005942DE" w:rsidSect="000957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Gothic Ligh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451FF"/>
    <w:multiLevelType w:val="hybridMultilevel"/>
    <w:tmpl w:val="FF3EA886"/>
    <w:lvl w:ilvl="0" w:tplc="6BBC6AD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DE"/>
    <w:rsid w:val="00013305"/>
    <w:rsid w:val="000957A0"/>
    <w:rsid w:val="000E2C8F"/>
    <w:rsid w:val="000F4BEA"/>
    <w:rsid w:val="00100AE6"/>
    <w:rsid w:val="00191AD0"/>
    <w:rsid w:val="002C39EB"/>
    <w:rsid w:val="00300758"/>
    <w:rsid w:val="00377A1F"/>
    <w:rsid w:val="003E2EF6"/>
    <w:rsid w:val="0057386E"/>
    <w:rsid w:val="005942DE"/>
    <w:rsid w:val="005B33A2"/>
    <w:rsid w:val="00670D38"/>
    <w:rsid w:val="0073148A"/>
    <w:rsid w:val="007611EB"/>
    <w:rsid w:val="007947D7"/>
    <w:rsid w:val="00903164"/>
    <w:rsid w:val="00D91624"/>
    <w:rsid w:val="00DA5298"/>
    <w:rsid w:val="00E7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86D20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42D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3148A"/>
    <w:rPr>
      <w:color w:val="0563C1" w:themeColor="hyperlink"/>
      <w:u w:val="single"/>
    </w:rPr>
  </w:style>
  <w:style w:type="table" w:styleId="Grille">
    <w:name w:val="Table Grid"/>
    <w:basedOn w:val="TableauNormal"/>
    <w:uiPriority w:val="39"/>
    <w:rsid w:val="00903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leauNormal"/>
    <w:uiPriority w:val="45"/>
    <w:rsid w:val="009031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">
    <w:name w:val="Plain Table 3"/>
    <w:basedOn w:val="TableauNormal"/>
    <w:uiPriority w:val="43"/>
    <w:rsid w:val="009031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TableauNormal"/>
    <w:uiPriority w:val="42"/>
    <w:rsid w:val="0090316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TableauNormal"/>
    <w:uiPriority w:val="41"/>
    <w:rsid w:val="0090316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auNormal"/>
    <w:uiPriority w:val="40"/>
    <w:rsid w:val="0090316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42D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3148A"/>
    <w:rPr>
      <w:color w:val="0563C1" w:themeColor="hyperlink"/>
      <w:u w:val="single"/>
    </w:rPr>
  </w:style>
  <w:style w:type="table" w:styleId="Grille">
    <w:name w:val="Table Grid"/>
    <w:basedOn w:val="TableauNormal"/>
    <w:uiPriority w:val="39"/>
    <w:rsid w:val="00903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leauNormal"/>
    <w:uiPriority w:val="45"/>
    <w:rsid w:val="009031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">
    <w:name w:val="Plain Table 3"/>
    <w:basedOn w:val="TableauNormal"/>
    <w:uiPriority w:val="43"/>
    <w:rsid w:val="009031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TableauNormal"/>
    <w:uiPriority w:val="42"/>
    <w:rsid w:val="0090316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TableauNormal"/>
    <w:uiPriority w:val="41"/>
    <w:rsid w:val="0090316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auNormal"/>
    <w:uiPriority w:val="40"/>
    <w:rsid w:val="0090316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eannelle@fabula.org)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839</Words>
  <Characters>4417</Characters>
  <Application>Microsoft Macintosh Word</Application>
  <DocSecurity>0</DocSecurity>
  <Lines>62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Bouchardon</dc:creator>
  <cp:keywords/>
  <dc:description/>
  <cp:lastModifiedBy>-- --</cp:lastModifiedBy>
  <cp:revision>2</cp:revision>
  <dcterms:created xsi:type="dcterms:W3CDTF">2016-11-08T10:21:00Z</dcterms:created>
  <dcterms:modified xsi:type="dcterms:W3CDTF">2016-11-08T10:21:00Z</dcterms:modified>
</cp:coreProperties>
</file>